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F65765" w:rsidRDefault="00F65765" w:rsidP="00353988">
      <w:pPr>
        <w:spacing w:line="360" w:lineRule="auto"/>
        <w:jc w:val="center"/>
        <w:rPr>
          <w:rFonts w:ascii="Arial Narrow" w:hAnsi="Arial Narrow"/>
          <w:b/>
          <w:sz w:val="32"/>
          <w:szCs w:val="24"/>
        </w:rPr>
      </w:pPr>
      <w:r w:rsidRPr="00F65765">
        <w:rPr>
          <w:rFonts w:ascii="Arial Narrow" w:hAnsi="Arial Narrow"/>
          <w:b/>
          <w:sz w:val="32"/>
          <w:szCs w:val="24"/>
        </w:rPr>
        <w:t xml:space="preserve">Status of Seed Viability and Germination Percentage of Seed Collected from Farmer's Field </w:t>
      </w:r>
    </w:p>
    <w:p w:rsidR="00262E2E" w:rsidRPr="00C53589" w:rsidRDefault="00262E2E" w:rsidP="00353988">
      <w:pPr>
        <w:spacing w:line="360" w:lineRule="auto"/>
        <w:jc w:val="center"/>
        <w:rPr>
          <w:rFonts w:ascii="Arial Narrow" w:hAnsi="Arial Narrow"/>
          <w:b/>
          <w:sz w:val="24"/>
          <w:szCs w:val="24"/>
        </w:rPr>
      </w:pPr>
      <w:bookmarkStart w:id="0" w:name="_GoBack"/>
      <w:bookmarkEnd w:id="0"/>
      <w:r w:rsidRPr="00C53589">
        <w:rPr>
          <w:rFonts w:ascii="Arial Narrow" w:hAnsi="Arial Narrow"/>
          <w:b/>
          <w:sz w:val="24"/>
          <w:szCs w:val="24"/>
        </w:rPr>
        <w:t>Prepared by Dr. Hasan Muhammad Abdullah (Agronomy Consultant)</w:t>
      </w:r>
    </w:p>
    <w:p w:rsidR="00262E2E" w:rsidRPr="00C53589" w:rsidRDefault="00262E2E" w:rsidP="00353988">
      <w:pPr>
        <w:spacing w:line="360" w:lineRule="auto"/>
        <w:jc w:val="center"/>
        <w:rPr>
          <w:rFonts w:ascii="Arial Narrow" w:hAnsi="Arial Narrow"/>
          <w:b/>
          <w:sz w:val="24"/>
          <w:szCs w:val="24"/>
        </w:rPr>
      </w:pPr>
      <w:r w:rsidRPr="00C53589">
        <w:rPr>
          <w:rFonts w:ascii="Arial Narrow" w:hAnsi="Arial Narrow"/>
          <w:b/>
          <w:sz w:val="24"/>
          <w:szCs w:val="24"/>
        </w:rPr>
        <w:t>Submitted to: Project Director</w:t>
      </w:r>
      <w:r w:rsidRPr="00C53589">
        <w:rPr>
          <w:rFonts w:ascii="Arial Narrow" w:hAnsi="Arial Narrow"/>
          <w:sz w:val="24"/>
          <w:szCs w:val="24"/>
        </w:rPr>
        <w:t xml:space="preserve"> (</w:t>
      </w:r>
      <w:r w:rsidRPr="00C53589">
        <w:rPr>
          <w:rFonts w:ascii="Arial Narrow" w:hAnsi="Arial Narrow"/>
          <w:b/>
          <w:sz w:val="24"/>
          <w:szCs w:val="24"/>
        </w:rPr>
        <w:t xml:space="preserve">Preparation of Development Plan for </w:t>
      </w:r>
      <w:proofErr w:type="spellStart"/>
      <w:r w:rsidRPr="00C53589">
        <w:rPr>
          <w:rFonts w:ascii="Arial Narrow" w:hAnsi="Arial Narrow"/>
          <w:b/>
          <w:sz w:val="24"/>
          <w:szCs w:val="24"/>
        </w:rPr>
        <w:t>Meherpur</w:t>
      </w:r>
      <w:proofErr w:type="spellEnd"/>
      <w:r w:rsidRPr="00C53589">
        <w:rPr>
          <w:rFonts w:ascii="Arial Narrow" w:hAnsi="Arial Narrow"/>
          <w:b/>
          <w:sz w:val="24"/>
          <w:szCs w:val="24"/>
        </w:rPr>
        <w:t xml:space="preserve"> </w:t>
      </w:r>
      <w:proofErr w:type="spellStart"/>
      <w:r w:rsidRPr="00C53589">
        <w:rPr>
          <w:rFonts w:ascii="Arial Narrow" w:hAnsi="Arial Narrow"/>
          <w:b/>
          <w:sz w:val="24"/>
          <w:szCs w:val="24"/>
        </w:rPr>
        <w:t>Zilla</w:t>
      </w:r>
      <w:proofErr w:type="spellEnd"/>
      <w:r w:rsidRPr="00C53589">
        <w:rPr>
          <w:rFonts w:ascii="Arial Narrow" w:hAnsi="Arial Narrow"/>
          <w:b/>
          <w:sz w:val="24"/>
          <w:szCs w:val="24"/>
        </w:rPr>
        <w:t>)</w:t>
      </w:r>
    </w:p>
    <w:p w:rsidR="00262E2E" w:rsidRPr="00C53589" w:rsidRDefault="00262E2E" w:rsidP="00353988">
      <w:pPr>
        <w:spacing w:line="360" w:lineRule="auto"/>
        <w:jc w:val="center"/>
        <w:rPr>
          <w:rFonts w:ascii="Arial Narrow" w:hAnsi="Arial Narrow"/>
          <w:b/>
          <w:sz w:val="24"/>
          <w:szCs w:val="24"/>
        </w:rPr>
      </w:pPr>
      <w:r w:rsidRPr="00C53589">
        <w:rPr>
          <w:rFonts w:ascii="Arial Narrow" w:hAnsi="Arial Narrow"/>
          <w:b/>
          <w:sz w:val="24"/>
          <w:szCs w:val="24"/>
        </w:rPr>
        <w:t>Date of Submission</w:t>
      </w:r>
      <w:r w:rsidR="00965240">
        <w:rPr>
          <w:rFonts w:ascii="Arial Narrow" w:hAnsi="Arial Narrow"/>
          <w:b/>
          <w:sz w:val="24"/>
          <w:szCs w:val="24"/>
        </w:rPr>
        <w:t>30</w:t>
      </w:r>
      <w:r w:rsidRPr="00C53589">
        <w:rPr>
          <w:rFonts w:ascii="Arial Narrow" w:hAnsi="Arial Narrow"/>
          <w:b/>
          <w:sz w:val="24"/>
          <w:szCs w:val="24"/>
        </w:rPr>
        <w:t xml:space="preserve"> </w:t>
      </w:r>
      <w:r w:rsidR="003C10D5">
        <w:rPr>
          <w:rFonts w:ascii="Arial Narrow" w:hAnsi="Arial Narrow"/>
          <w:b/>
          <w:sz w:val="24"/>
          <w:szCs w:val="24"/>
        </w:rPr>
        <w:t>December</w:t>
      </w:r>
      <w:r w:rsidRPr="00C53589">
        <w:rPr>
          <w:rFonts w:ascii="Arial Narrow" w:hAnsi="Arial Narrow"/>
          <w:b/>
          <w:sz w:val="24"/>
          <w:szCs w:val="24"/>
        </w:rPr>
        <w:t xml:space="preserve"> 2024</w:t>
      </w: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F65765" w:rsidRDefault="00F65765" w:rsidP="00353988">
      <w:pPr>
        <w:spacing w:line="360" w:lineRule="auto"/>
        <w:jc w:val="center"/>
        <w:rPr>
          <w:rFonts w:ascii="Arial Narrow" w:hAnsi="Arial Narrow"/>
          <w:b/>
          <w:sz w:val="24"/>
          <w:szCs w:val="24"/>
        </w:rPr>
      </w:pPr>
      <w:r>
        <w:rPr>
          <w:rFonts w:ascii="Arial Narrow" w:hAnsi="Arial Narrow"/>
          <w:b/>
          <w:sz w:val="24"/>
          <w:szCs w:val="24"/>
        </w:rPr>
        <w:t xml:space="preserve">Status of </w:t>
      </w:r>
      <w:r w:rsidRPr="00F65765">
        <w:rPr>
          <w:rFonts w:ascii="Arial Narrow" w:hAnsi="Arial Narrow"/>
          <w:b/>
          <w:sz w:val="24"/>
          <w:szCs w:val="24"/>
        </w:rPr>
        <w:t xml:space="preserve">Seed Viability and Germination Percentage </w:t>
      </w:r>
      <w:r>
        <w:rPr>
          <w:rFonts w:ascii="Arial Narrow" w:hAnsi="Arial Narrow"/>
          <w:b/>
          <w:sz w:val="24"/>
          <w:szCs w:val="24"/>
        </w:rPr>
        <w:t xml:space="preserve">of Seed Collected from Farmer's Field </w:t>
      </w:r>
    </w:p>
    <w:p w:rsidR="006F6D3E" w:rsidRPr="003C10D5" w:rsidRDefault="006F6D3E" w:rsidP="00353988">
      <w:pPr>
        <w:spacing w:line="360" w:lineRule="auto"/>
        <w:jc w:val="center"/>
        <w:rPr>
          <w:rFonts w:ascii="Arial Narrow" w:hAnsi="Arial Narrow"/>
          <w:sz w:val="24"/>
          <w:szCs w:val="24"/>
        </w:rPr>
      </w:pPr>
      <w:r w:rsidRPr="003C10D5">
        <w:rPr>
          <w:rFonts w:ascii="Arial Narrow" w:hAnsi="Arial Narrow"/>
          <w:sz w:val="24"/>
          <w:szCs w:val="24"/>
        </w:rPr>
        <w:t>Executive Summary</w:t>
      </w:r>
    </w:p>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This report evaluates the germination performance of various farmer-level seeds in Meherpur district under room temperature conditions. The study analyzes germination percentages to assess seed viability and identify potential concerns related to seed quality. Findings indicate significant variation in germination success, highlighting the need for better seed selection, handling, and storage practices.</w:t>
      </w:r>
    </w:p>
    <w:p w:rsidR="003C10D5" w:rsidRPr="003C10D5" w:rsidRDefault="003C10D5" w:rsidP="003C10D5">
      <w:pPr>
        <w:spacing w:line="360" w:lineRule="auto"/>
        <w:jc w:val="both"/>
        <w:rPr>
          <w:rFonts w:ascii="Arial Narrow" w:hAnsi="Arial Narrow"/>
          <w:bCs/>
          <w:sz w:val="24"/>
          <w:szCs w:val="24"/>
        </w:rPr>
      </w:pPr>
      <w:r w:rsidRPr="003C10D5">
        <w:rPr>
          <w:rFonts w:ascii="Arial Narrow" w:hAnsi="Arial Narrow"/>
          <w:bCs/>
          <w:sz w:val="24"/>
          <w:szCs w:val="24"/>
        </w:rPr>
        <w:t>Key Findings</w:t>
      </w:r>
    </w:p>
    <w:p w:rsidR="003C10D5" w:rsidRPr="003C10D5" w:rsidRDefault="003C10D5" w:rsidP="003C10D5">
      <w:pPr>
        <w:numPr>
          <w:ilvl w:val="0"/>
          <w:numId w:val="9"/>
        </w:numPr>
        <w:spacing w:line="360" w:lineRule="auto"/>
        <w:jc w:val="both"/>
        <w:rPr>
          <w:rFonts w:ascii="Arial Narrow" w:hAnsi="Arial Narrow"/>
          <w:sz w:val="24"/>
          <w:szCs w:val="24"/>
        </w:rPr>
      </w:pPr>
      <w:r w:rsidRPr="003C10D5">
        <w:rPr>
          <w:rFonts w:ascii="Arial Narrow" w:hAnsi="Arial Narrow"/>
          <w:bCs/>
          <w:sz w:val="24"/>
          <w:szCs w:val="24"/>
        </w:rPr>
        <w:t>Excellent Germination (Above 80%)</w:t>
      </w:r>
      <w:r w:rsidRPr="003C10D5">
        <w:rPr>
          <w:rFonts w:ascii="Arial Narrow" w:hAnsi="Arial Narrow"/>
          <w:sz w:val="24"/>
          <w:szCs w:val="24"/>
        </w:rPr>
        <w:t>: Maize (80.66%), Okra (83.33%), and Wheat (100%) demonstrated high viability, indicating their suitability for planting.</w:t>
      </w:r>
    </w:p>
    <w:p w:rsidR="003C10D5" w:rsidRPr="003C10D5" w:rsidRDefault="003C10D5" w:rsidP="003C10D5">
      <w:pPr>
        <w:numPr>
          <w:ilvl w:val="0"/>
          <w:numId w:val="9"/>
        </w:numPr>
        <w:spacing w:line="360" w:lineRule="auto"/>
        <w:jc w:val="both"/>
        <w:rPr>
          <w:rFonts w:ascii="Arial Narrow" w:hAnsi="Arial Narrow"/>
          <w:sz w:val="24"/>
          <w:szCs w:val="24"/>
        </w:rPr>
      </w:pPr>
      <w:r w:rsidRPr="003C10D5">
        <w:rPr>
          <w:rFonts w:ascii="Arial Narrow" w:hAnsi="Arial Narrow"/>
          <w:bCs/>
          <w:sz w:val="24"/>
          <w:szCs w:val="24"/>
        </w:rPr>
        <w:t>Good Germination (60–79%)</w:t>
      </w:r>
      <w:r w:rsidRPr="003C10D5">
        <w:rPr>
          <w:rFonts w:ascii="Arial Narrow" w:hAnsi="Arial Narrow"/>
          <w:sz w:val="24"/>
          <w:szCs w:val="24"/>
        </w:rPr>
        <w:t xml:space="preserve">: Onion (73.33%), </w:t>
      </w:r>
      <w:proofErr w:type="spellStart"/>
      <w:r w:rsidRPr="003C10D5">
        <w:rPr>
          <w:rFonts w:ascii="Arial Narrow" w:hAnsi="Arial Narrow"/>
          <w:sz w:val="24"/>
          <w:szCs w:val="24"/>
        </w:rPr>
        <w:t>Mungbean</w:t>
      </w:r>
      <w:proofErr w:type="spellEnd"/>
      <w:r w:rsidRPr="003C10D5">
        <w:rPr>
          <w:rFonts w:ascii="Arial Narrow" w:hAnsi="Arial Narrow"/>
          <w:sz w:val="24"/>
          <w:szCs w:val="24"/>
        </w:rPr>
        <w:t xml:space="preserve"> (73.33%), and Tobacco (64.56%) showed reasonable viability but may benefit from improved seed treatment.</w:t>
      </w:r>
    </w:p>
    <w:p w:rsidR="003C10D5" w:rsidRPr="003C10D5" w:rsidRDefault="003C10D5" w:rsidP="003C10D5">
      <w:pPr>
        <w:numPr>
          <w:ilvl w:val="0"/>
          <w:numId w:val="9"/>
        </w:numPr>
        <w:spacing w:line="360" w:lineRule="auto"/>
        <w:jc w:val="both"/>
        <w:rPr>
          <w:rFonts w:ascii="Arial Narrow" w:hAnsi="Arial Narrow"/>
          <w:sz w:val="24"/>
          <w:szCs w:val="24"/>
        </w:rPr>
      </w:pPr>
      <w:r w:rsidRPr="003C10D5">
        <w:rPr>
          <w:rFonts w:ascii="Arial Narrow" w:hAnsi="Arial Narrow"/>
          <w:bCs/>
          <w:sz w:val="24"/>
          <w:szCs w:val="24"/>
        </w:rPr>
        <w:t>Moderate Germination (20–59%)</w:t>
      </w:r>
      <w:r w:rsidRPr="003C10D5">
        <w:rPr>
          <w:rFonts w:ascii="Arial Narrow" w:hAnsi="Arial Narrow"/>
          <w:sz w:val="24"/>
          <w:szCs w:val="24"/>
        </w:rPr>
        <w:t>: Green Amaranth (40%) and Hybrid Rice-48 (20%) exhibited lower viability, requiring better storage or enhanced seed treatment.</w:t>
      </w:r>
    </w:p>
    <w:p w:rsidR="003C10D5" w:rsidRPr="003C10D5" w:rsidRDefault="003C10D5" w:rsidP="003C10D5">
      <w:pPr>
        <w:numPr>
          <w:ilvl w:val="0"/>
          <w:numId w:val="9"/>
        </w:numPr>
        <w:spacing w:line="360" w:lineRule="auto"/>
        <w:jc w:val="both"/>
        <w:rPr>
          <w:rFonts w:ascii="Arial Narrow" w:hAnsi="Arial Narrow"/>
          <w:sz w:val="24"/>
          <w:szCs w:val="24"/>
        </w:rPr>
      </w:pPr>
      <w:r w:rsidRPr="003C10D5">
        <w:rPr>
          <w:rFonts w:ascii="Arial Narrow" w:hAnsi="Arial Narrow"/>
          <w:bCs/>
          <w:sz w:val="24"/>
          <w:szCs w:val="24"/>
        </w:rPr>
        <w:t>Poor Germination (&lt;20%)</w:t>
      </w:r>
      <w:r w:rsidRPr="003C10D5">
        <w:rPr>
          <w:rFonts w:ascii="Arial Narrow" w:hAnsi="Arial Narrow"/>
          <w:sz w:val="24"/>
          <w:szCs w:val="24"/>
        </w:rPr>
        <w:t xml:space="preserve">: </w:t>
      </w:r>
      <w:proofErr w:type="spellStart"/>
      <w:r w:rsidRPr="003C10D5">
        <w:rPr>
          <w:rFonts w:ascii="Arial Narrow" w:hAnsi="Arial Narrow"/>
          <w:sz w:val="24"/>
          <w:szCs w:val="24"/>
        </w:rPr>
        <w:t>Lal</w:t>
      </w:r>
      <w:proofErr w:type="spellEnd"/>
      <w:r w:rsidRPr="003C10D5">
        <w:rPr>
          <w:rFonts w:ascii="Arial Narrow" w:hAnsi="Arial Narrow"/>
          <w:sz w:val="24"/>
          <w:szCs w:val="24"/>
        </w:rPr>
        <w:t xml:space="preserve"> </w:t>
      </w:r>
      <w:proofErr w:type="spellStart"/>
      <w:r w:rsidRPr="003C10D5">
        <w:rPr>
          <w:rFonts w:ascii="Arial Narrow" w:hAnsi="Arial Narrow"/>
          <w:sz w:val="24"/>
          <w:szCs w:val="24"/>
        </w:rPr>
        <w:t>Swarna</w:t>
      </w:r>
      <w:proofErr w:type="spellEnd"/>
      <w:r w:rsidRPr="003C10D5">
        <w:rPr>
          <w:rFonts w:ascii="Arial Narrow" w:hAnsi="Arial Narrow"/>
          <w:sz w:val="24"/>
          <w:szCs w:val="24"/>
        </w:rPr>
        <w:t xml:space="preserve"> </w:t>
      </w:r>
      <w:proofErr w:type="spellStart"/>
      <w:r w:rsidRPr="003C10D5">
        <w:rPr>
          <w:rFonts w:ascii="Arial Narrow" w:hAnsi="Arial Narrow"/>
          <w:sz w:val="24"/>
          <w:szCs w:val="24"/>
        </w:rPr>
        <w:t>Dhan</w:t>
      </w:r>
      <w:proofErr w:type="spellEnd"/>
      <w:r w:rsidRPr="003C10D5">
        <w:rPr>
          <w:rFonts w:ascii="Arial Narrow" w:hAnsi="Arial Narrow"/>
          <w:sz w:val="24"/>
          <w:szCs w:val="24"/>
        </w:rPr>
        <w:t xml:space="preserve"> (10%), Bitter Gourd (10%), and Maize (16.66%) showed poor germination, raising concerns about seed quality.</w:t>
      </w:r>
    </w:p>
    <w:p w:rsidR="003C10D5" w:rsidRPr="003C10D5" w:rsidRDefault="003C10D5" w:rsidP="003C10D5">
      <w:pPr>
        <w:numPr>
          <w:ilvl w:val="0"/>
          <w:numId w:val="9"/>
        </w:numPr>
        <w:spacing w:line="360" w:lineRule="auto"/>
        <w:jc w:val="both"/>
        <w:rPr>
          <w:rFonts w:ascii="Arial Narrow" w:hAnsi="Arial Narrow"/>
          <w:sz w:val="24"/>
          <w:szCs w:val="24"/>
        </w:rPr>
      </w:pPr>
      <w:r w:rsidRPr="003C10D5">
        <w:rPr>
          <w:rFonts w:ascii="Arial Narrow" w:hAnsi="Arial Narrow"/>
          <w:bCs/>
          <w:sz w:val="24"/>
          <w:szCs w:val="24"/>
        </w:rPr>
        <w:t>No Germination (0%)</w:t>
      </w:r>
      <w:r w:rsidRPr="003C10D5">
        <w:rPr>
          <w:rFonts w:ascii="Arial Narrow" w:hAnsi="Arial Narrow"/>
          <w:sz w:val="24"/>
          <w:szCs w:val="24"/>
        </w:rPr>
        <w:t>: Bottle Gourd, Cucumber, Sponge Gourd, and Spinach failed to germinate, indicating extremely poor seed viability.</w:t>
      </w:r>
    </w:p>
    <w:p w:rsidR="003C10D5" w:rsidRPr="003C10D5" w:rsidRDefault="003C10D5" w:rsidP="003C10D5">
      <w:pPr>
        <w:spacing w:line="360" w:lineRule="auto"/>
        <w:jc w:val="both"/>
        <w:rPr>
          <w:rFonts w:ascii="Arial Narrow" w:hAnsi="Arial Narrow"/>
          <w:bCs/>
          <w:sz w:val="24"/>
          <w:szCs w:val="24"/>
        </w:rPr>
      </w:pPr>
      <w:r w:rsidRPr="003C10D5">
        <w:rPr>
          <w:rFonts w:ascii="Arial Narrow" w:hAnsi="Arial Narrow"/>
          <w:bCs/>
          <w:sz w:val="24"/>
          <w:szCs w:val="24"/>
        </w:rPr>
        <w:t>Implications</w:t>
      </w:r>
    </w:p>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The results emphasize the importance of proper seed handling and quality control. Addressing seed viability issues will:</w:t>
      </w:r>
    </w:p>
    <w:p w:rsidR="003C10D5" w:rsidRPr="003C10D5" w:rsidRDefault="003C10D5" w:rsidP="003C10D5">
      <w:pPr>
        <w:numPr>
          <w:ilvl w:val="0"/>
          <w:numId w:val="10"/>
        </w:numPr>
        <w:spacing w:line="360" w:lineRule="auto"/>
        <w:jc w:val="both"/>
        <w:rPr>
          <w:rFonts w:ascii="Arial Narrow" w:hAnsi="Arial Narrow"/>
          <w:sz w:val="24"/>
          <w:szCs w:val="24"/>
        </w:rPr>
      </w:pPr>
      <w:r w:rsidRPr="003C10D5">
        <w:rPr>
          <w:rFonts w:ascii="Arial Narrow" w:hAnsi="Arial Narrow"/>
          <w:sz w:val="24"/>
          <w:szCs w:val="24"/>
        </w:rPr>
        <w:t>Improve crop establishment and yield potential.</w:t>
      </w:r>
    </w:p>
    <w:p w:rsidR="003C10D5" w:rsidRPr="003C10D5" w:rsidRDefault="003C10D5" w:rsidP="003C10D5">
      <w:pPr>
        <w:numPr>
          <w:ilvl w:val="0"/>
          <w:numId w:val="10"/>
        </w:numPr>
        <w:spacing w:line="360" w:lineRule="auto"/>
        <w:jc w:val="both"/>
        <w:rPr>
          <w:rFonts w:ascii="Arial Narrow" w:hAnsi="Arial Narrow"/>
          <w:sz w:val="24"/>
          <w:szCs w:val="24"/>
        </w:rPr>
      </w:pPr>
      <w:r w:rsidRPr="003C10D5">
        <w:rPr>
          <w:rFonts w:ascii="Arial Narrow" w:hAnsi="Arial Narrow"/>
          <w:sz w:val="24"/>
          <w:szCs w:val="24"/>
        </w:rPr>
        <w:t>Enhance seed storage conditions to reduce deterioration.</w:t>
      </w:r>
    </w:p>
    <w:p w:rsidR="003C10D5" w:rsidRPr="003C10D5" w:rsidRDefault="003C10D5" w:rsidP="003C10D5">
      <w:pPr>
        <w:numPr>
          <w:ilvl w:val="0"/>
          <w:numId w:val="10"/>
        </w:numPr>
        <w:spacing w:line="360" w:lineRule="auto"/>
        <w:jc w:val="both"/>
        <w:rPr>
          <w:rFonts w:ascii="Arial Narrow" w:hAnsi="Arial Narrow"/>
          <w:sz w:val="24"/>
          <w:szCs w:val="24"/>
        </w:rPr>
      </w:pPr>
      <w:r w:rsidRPr="003C10D5">
        <w:rPr>
          <w:rFonts w:ascii="Arial Narrow" w:hAnsi="Arial Narrow"/>
          <w:sz w:val="24"/>
          <w:szCs w:val="24"/>
        </w:rPr>
        <w:t>Support farmers in making informed seed selection decisions.</w:t>
      </w:r>
    </w:p>
    <w:p w:rsidR="003C10D5" w:rsidRPr="003C10D5" w:rsidRDefault="003C10D5" w:rsidP="003C10D5">
      <w:pPr>
        <w:numPr>
          <w:ilvl w:val="0"/>
          <w:numId w:val="10"/>
        </w:numPr>
        <w:spacing w:line="360" w:lineRule="auto"/>
        <w:jc w:val="both"/>
        <w:rPr>
          <w:rFonts w:ascii="Arial Narrow" w:hAnsi="Arial Narrow"/>
          <w:sz w:val="24"/>
          <w:szCs w:val="24"/>
        </w:rPr>
      </w:pPr>
      <w:r w:rsidRPr="003C10D5">
        <w:rPr>
          <w:rFonts w:ascii="Arial Narrow" w:hAnsi="Arial Narrow"/>
          <w:sz w:val="24"/>
          <w:szCs w:val="24"/>
        </w:rPr>
        <w:lastRenderedPageBreak/>
        <w:t>Encourage the use of certified seeds to ensure better germination rates.</w:t>
      </w:r>
    </w:p>
    <w:p w:rsidR="003C10D5" w:rsidRPr="003C10D5" w:rsidRDefault="003C10D5" w:rsidP="003C10D5">
      <w:pPr>
        <w:spacing w:line="360" w:lineRule="auto"/>
        <w:jc w:val="both"/>
        <w:rPr>
          <w:rFonts w:ascii="Arial Narrow" w:hAnsi="Arial Narrow"/>
          <w:bCs/>
          <w:sz w:val="24"/>
          <w:szCs w:val="24"/>
        </w:rPr>
      </w:pPr>
      <w:r w:rsidRPr="003C10D5">
        <w:rPr>
          <w:rFonts w:ascii="Arial Narrow" w:hAnsi="Arial Narrow"/>
          <w:bCs/>
          <w:sz w:val="24"/>
          <w:szCs w:val="24"/>
        </w:rPr>
        <w:t>Introduction</w:t>
      </w:r>
    </w:p>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This study examines the germination rates of various crops grown in Meherpur district to determine seed viability and quality. Germination tests were conducted under room temperature conditions to evaluate seed performance.</w:t>
      </w:r>
    </w:p>
    <w:p w:rsidR="003C10D5" w:rsidRPr="003C10D5" w:rsidRDefault="003C10D5" w:rsidP="003C10D5">
      <w:pPr>
        <w:spacing w:line="360" w:lineRule="auto"/>
        <w:jc w:val="center"/>
        <w:rPr>
          <w:rFonts w:ascii="Arial Narrow" w:hAnsi="Arial Narrow"/>
          <w:bCs/>
          <w:sz w:val="24"/>
          <w:szCs w:val="24"/>
        </w:rPr>
      </w:pPr>
      <w:r w:rsidRPr="003C10D5">
        <w:rPr>
          <w:rFonts w:ascii="Arial Narrow" w:hAnsi="Arial Narrow"/>
          <w:bCs/>
          <w:sz w:val="24"/>
          <w:szCs w:val="24"/>
        </w:rPr>
        <w:t>Germination Performance by Crop</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05"/>
        <w:gridCol w:w="2590"/>
      </w:tblGrid>
      <w:tr w:rsidR="003C10D5" w:rsidRPr="003C10D5" w:rsidTr="003C10D5">
        <w:trPr>
          <w:trHeight w:val="421"/>
          <w:tblCellSpacing w:w="15" w:type="dxa"/>
          <w:jc w:val="center"/>
        </w:trPr>
        <w:tc>
          <w:tcPr>
            <w:tcW w:w="0" w:type="auto"/>
            <w:vAlign w:val="center"/>
            <w:hideMark/>
          </w:tcPr>
          <w:p w:rsidR="003C10D5" w:rsidRPr="003C10D5" w:rsidRDefault="003C10D5" w:rsidP="003C10D5">
            <w:pPr>
              <w:spacing w:line="360" w:lineRule="auto"/>
              <w:jc w:val="both"/>
              <w:rPr>
                <w:rFonts w:ascii="Arial Narrow" w:hAnsi="Arial Narrow"/>
                <w:bCs/>
                <w:sz w:val="24"/>
                <w:szCs w:val="24"/>
              </w:rPr>
            </w:pPr>
            <w:r w:rsidRPr="003C10D5">
              <w:rPr>
                <w:rFonts w:ascii="Arial Narrow" w:hAnsi="Arial Narrow"/>
                <w:bCs/>
                <w:sz w:val="24"/>
                <w:szCs w:val="24"/>
              </w:rPr>
              <w:t>Crop Name</w:t>
            </w:r>
          </w:p>
        </w:tc>
        <w:tc>
          <w:tcPr>
            <w:tcW w:w="0" w:type="auto"/>
            <w:vAlign w:val="center"/>
            <w:hideMark/>
          </w:tcPr>
          <w:p w:rsidR="003C10D5" w:rsidRPr="003C10D5" w:rsidRDefault="003C10D5" w:rsidP="003C10D5">
            <w:pPr>
              <w:spacing w:line="360" w:lineRule="auto"/>
              <w:jc w:val="both"/>
              <w:rPr>
                <w:rFonts w:ascii="Arial Narrow" w:hAnsi="Arial Narrow"/>
                <w:bCs/>
                <w:sz w:val="24"/>
                <w:szCs w:val="24"/>
              </w:rPr>
            </w:pPr>
            <w:r w:rsidRPr="003C10D5">
              <w:rPr>
                <w:rFonts w:ascii="Arial Narrow" w:hAnsi="Arial Narrow"/>
                <w:bCs/>
                <w:sz w:val="24"/>
                <w:szCs w:val="24"/>
              </w:rPr>
              <w:t>Germination Percentage (%)</w:t>
            </w:r>
          </w:p>
        </w:tc>
      </w:tr>
      <w:tr w:rsidR="003C10D5" w:rsidRPr="003C10D5" w:rsidTr="003C10D5">
        <w:trPr>
          <w:tblCellSpacing w:w="15" w:type="dxa"/>
          <w:jc w:val="center"/>
        </w:trPr>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Maize</w:t>
            </w:r>
          </w:p>
        </w:tc>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80.66</w:t>
            </w:r>
          </w:p>
        </w:tc>
      </w:tr>
      <w:tr w:rsidR="003C10D5" w:rsidRPr="003C10D5" w:rsidTr="003C10D5">
        <w:trPr>
          <w:tblCellSpacing w:w="15" w:type="dxa"/>
          <w:jc w:val="center"/>
        </w:trPr>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Onion</w:t>
            </w:r>
          </w:p>
        </w:tc>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73.33</w:t>
            </w:r>
          </w:p>
        </w:tc>
      </w:tr>
      <w:tr w:rsidR="003C10D5" w:rsidRPr="003C10D5" w:rsidTr="003C10D5">
        <w:trPr>
          <w:tblCellSpacing w:w="15" w:type="dxa"/>
          <w:jc w:val="center"/>
        </w:trPr>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Okra</w:t>
            </w:r>
          </w:p>
        </w:tc>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83.33</w:t>
            </w:r>
          </w:p>
        </w:tc>
      </w:tr>
      <w:tr w:rsidR="003C10D5" w:rsidRPr="003C10D5" w:rsidTr="003C10D5">
        <w:trPr>
          <w:tblCellSpacing w:w="15" w:type="dxa"/>
          <w:jc w:val="center"/>
        </w:trPr>
        <w:tc>
          <w:tcPr>
            <w:tcW w:w="0" w:type="auto"/>
            <w:vAlign w:val="center"/>
            <w:hideMark/>
          </w:tcPr>
          <w:p w:rsidR="003C10D5" w:rsidRPr="003C10D5" w:rsidRDefault="003C10D5" w:rsidP="003C10D5">
            <w:pPr>
              <w:spacing w:line="360" w:lineRule="auto"/>
              <w:jc w:val="both"/>
              <w:rPr>
                <w:rFonts w:ascii="Arial Narrow" w:hAnsi="Arial Narrow"/>
                <w:sz w:val="24"/>
                <w:szCs w:val="24"/>
              </w:rPr>
            </w:pPr>
            <w:proofErr w:type="spellStart"/>
            <w:r w:rsidRPr="003C10D5">
              <w:rPr>
                <w:rFonts w:ascii="Arial Narrow" w:hAnsi="Arial Narrow"/>
                <w:sz w:val="24"/>
                <w:szCs w:val="24"/>
              </w:rPr>
              <w:t>Mungbean</w:t>
            </w:r>
            <w:proofErr w:type="spellEnd"/>
          </w:p>
        </w:tc>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73.33</w:t>
            </w:r>
          </w:p>
        </w:tc>
      </w:tr>
      <w:tr w:rsidR="003C10D5" w:rsidRPr="003C10D5" w:rsidTr="003C10D5">
        <w:trPr>
          <w:tblCellSpacing w:w="15" w:type="dxa"/>
          <w:jc w:val="center"/>
        </w:trPr>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Wheat</w:t>
            </w:r>
          </w:p>
        </w:tc>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100</w:t>
            </w:r>
          </w:p>
        </w:tc>
      </w:tr>
      <w:tr w:rsidR="003C10D5" w:rsidRPr="003C10D5" w:rsidTr="003C10D5">
        <w:trPr>
          <w:tblCellSpacing w:w="15" w:type="dxa"/>
          <w:jc w:val="center"/>
        </w:trPr>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Hybrid Rice-48</w:t>
            </w:r>
          </w:p>
        </w:tc>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20</w:t>
            </w:r>
          </w:p>
        </w:tc>
      </w:tr>
      <w:tr w:rsidR="003C10D5" w:rsidRPr="003C10D5" w:rsidTr="003C10D5">
        <w:trPr>
          <w:tblCellSpacing w:w="15" w:type="dxa"/>
          <w:jc w:val="center"/>
        </w:trPr>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Green Amaranth</w:t>
            </w:r>
          </w:p>
        </w:tc>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40</w:t>
            </w:r>
          </w:p>
        </w:tc>
      </w:tr>
      <w:tr w:rsidR="003C10D5" w:rsidRPr="003C10D5" w:rsidTr="003C10D5">
        <w:trPr>
          <w:tblCellSpacing w:w="15" w:type="dxa"/>
          <w:jc w:val="center"/>
        </w:trPr>
        <w:tc>
          <w:tcPr>
            <w:tcW w:w="0" w:type="auto"/>
            <w:vAlign w:val="center"/>
            <w:hideMark/>
          </w:tcPr>
          <w:p w:rsidR="003C10D5" w:rsidRPr="003C10D5" w:rsidRDefault="003C10D5" w:rsidP="003C10D5">
            <w:pPr>
              <w:spacing w:line="360" w:lineRule="auto"/>
              <w:jc w:val="both"/>
              <w:rPr>
                <w:rFonts w:ascii="Arial Narrow" w:hAnsi="Arial Narrow"/>
                <w:sz w:val="24"/>
                <w:szCs w:val="24"/>
              </w:rPr>
            </w:pPr>
            <w:proofErr w:type="spellStart"/>
            <w:r w:rsidRPr="003C10D5">
              <w:rPr>
                <w:rFonts w:ascii="Arial Narrow" w:hAnsi="Arial Narrow"/>
                <w:sz w:val="24"/>
                <w:szCs w:val="24"/>
              </w:rPr>
              <w:t>Dhaincha</w:t>
            </w:r>
            <w:proofErr w:type="spellEnd"/>
          </w:p>
        </w:tc>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100</w:t>
            </w:r>
          </w:p>
        </w:tc>
      </w:tr>
      <w:tr w:rsidR="003C10D5" w:rsidRPr="003C10D5" w:rsidTr="003C10D5">
        <w:trPr>
          <w:tblCellSpacing w:w="15" w:type="dxa"/>
          <w:jc w:val="center"/>
        </w:trPr>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Tobacco</w:t>
            </w:r>
          </w:p>
        </w:tc>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64.56</w:t>
            </w:r>
          </w:p>
        </w:tc>
      </w:tr>
      <w:tr w:rsidR="003C10D5" w:rsidRPr="003C10D5" w:rsidTr="003C10D5">
        <w:trPr>
          <w:tblCellSpacing w:w="15" w:type="dxa"/>
          <w:jc w:val="center"/>
        </w:trPr>
        <w:tc>
          <w:tcPr>
            <w:tcW w:w="0" w:type="auto"/>
            <w:vAlign w:val="center"/>
            <w:hideMark/>
          </w:tcPr>
          <w:p w:rsidR="003C10D5" w:rsidRPr="003C10D5" w:rsidRDefault="003C10D5" w:rsidP="003C10D5">
            <w:pPr>
              <w:spacing w:line="360" w:lineRule="auto"/>
              <w:jc w:val="both"/>
              <w:rPr>
                <w:rFonts w:ascii="Arial Narrow" w:hAnsi="Arial Narrow"/>
                <w:sz w:val="24"/>
                <w:szCs w:val="24"/>
              </w:rPr>
            </w:pPr>
            <w:proofErr w:type="spellStart"/>
            <w:r w:rsidRPr="003C10D5">
              <w:rPr>
                <w:rFonts w:ascii="Arial Narrow" w:hAnsi="Arial Narrow"/>
                <w:sz w:val="24"/>
                <w:szCs w:val="24"/>
              </w:rPr>
              <w:t>Lal</w:t>
            </w:r>
            <w:proofErr w:type="spellEnd"/>
            <w:r w:rsidRPr="003C10D5">
              <w:rPr>
                <w:rFonts w:ascii="Arial Narrow" w:hAnsi="Arial Narrow"/>
                <w:sz w:val="24"/>
                <w:szCs w:val="24"/>
              </w:rPr>
              <w:t xml:space="preserve"> </w:t>
            </w:r>
            <w:proofErr w:type="spellStart"/>
            <w:r w:rsidRPr="003C10D5">
              <w:rPr>
                <w:rFonts w:ascii="Arial Narrow" w:hAnsi="Arial Narrow"/>
                <w:sz w:val="24"/>
                <w:szCs w:val="24"/>
              </w:rPr>
              <w:t>Swarna</w:t>
            </w:r>
            <w:proofErr w:type="spellEnd"/>
            <w:r w:rsidRPr="003C10D5">
              <w:rPr>
                <w:rFonts w:ascii="Arial Narrow" w:hAnsi="Arial Narrow"/>
                <w:sz w:val="24"/>
                <w:szCs w:val="24"/>
              </w:rPr>
              <w:t xml:space="preserve"> </w:t>
            </w:r>
            <w:proofErr w:type="spellStart"/>
            <w:r w:rsidRPr="003C10D5">
              <w:rPr>
                <w:rFonts w:ascii="Arial Narrow" w:hAnsi="Arial Narrow"/>
                <w:sz w:val="24"/>
                <w:szCs w:val="24"/>
              </w:rPr>
              <w:t>Dhan</w:t>
            </w:r>
            <w:proofErr w:type="spellEnd"/>
          </w:p>
        </w:tc>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10</w:t>
            </w:r>
          </w:p>
        </w:tc>
      </w:tr>
      <w:tr w:rsidR="003C10D5" w:rsidRPr="003C10D5" w:rsidTr="003C10D5">
        <w:trPr>
          <w:tblCellSpacing w:w="15" w:type="dxa"/>
          <w:jc w:val="center"/>
        </w:trPr>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Bottle Gourd</w:t>
            </w:r>
          </w:p>
        </w:tc>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0</w:t>
            </w:r>
          </w:p>
        </w:tc>
      </w:tr>
      <w:tr w:rsidR="003C10D5" w:rsidRPr="003C10D5" w:rsidTr="003C10D5">
        <w:trPr>
          <w:tblCellSpacing w:w="15" w:type="dxa"/>
          <w:jc w:val="center"/>
        </w:trPr>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Cucumber</w:t>
            </w:r>
          </w:p>
        </w:tc>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0</w:t>
            </w:r>
          </w:p>
        </w:tc>
      </w:tr>
      <w:tr w:rsidR="003C10D5" w:rsidRPr="003C10D5" w:rsidTr="003C10D5">
        <w:trPr>
          <w:tblCellSpacing w:w="15" w:type="dxa"/>
          <w:jc w:val="center"/>
        </w:trPr>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lastRenderedPageBreak/>
              <w:t>Bitter Gourd</w:t>
            </w:r>
          </w:p>
        </w:tc>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10</w:t>
            </w:r>
          </w:p>
        </w:tc>
      </w:tr>
      <w:tr w:rsidR="003C10D5" w:rsidRPr="003C10D5" w:rsidTr="003C10D5">
        <w:trPr>
          <w:tblCellSpacing w:w="15" w:type="dxa"/>
          <w:jc w:val="center"/>
        </w:trPr>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Sponge Gourd</w:t>
            </w:r>
          </w:p>
        </w:tc>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0</w:t>
            </w:r>
          </w:p>
        </w:tc>
      </w:tr>
      <w:tr w:rsidR="003C10D5" w:rsidRPr="003C10D5" w:rsidTr="003C10D5">
        <w:trPr>
          <w:tblCellSpacing w:w="15" w:type="dxa"/>
          <w:jc w:val="center"/>
        </w:trPr>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Spinach</w:t>
            </w:r>
          </w:p>
        </w:tc>
        <w:tc>
          <w:tcPr>
            <w:tcW w:w="0" w:type="auto"/>
            <w:vAlign w:val="center"/>
            <w:hideMark/>
          </w:tcPr>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0</w:t>
            </w:r>
          </w:p>
        </w:tc>
      </w:tr>
    </w:tbl>
    <w:p w:rsidR="003C10D5" w:rsidRPr="003C10D5" w:rsidRDefault="003C10D5" w:rsidP="003C10D5">
      <w:pPr>
        <w:spacing w:line="360" w:lineRule="auto"/>
        <w:jc w:val="both"/>
        <w:rPr>
          <w:rFonts w:ascii="Arial Narrow" w:hAnsi="Arial Narrow"/>
          <w:bCs/>
          <w:sz w:val="24"/>
          <w:szCs w:val="24"/>
        </w:rPr>
      </w:pPr>
      <w:r w:rsidRPr="003C10D5">
        <w:rPr>
          <w:rFonts w:ascii="Arial Narrow" w:hAnsi="Arial Narrow"/>
          <w:bCs/>
          <w:sz w:val="24"/>
          <w:szCs w:val="24"/>
        </w:rPr>
        <w:t>Observations and Recommendations</w:t>
      </w:r>
    </w:p>
    <w:p w:rsidR="003C10D5" w:rsidRPr="003C10D5" w:rsidRDefault="003C10D5" w:rsidP="003C10D5">
      <w:pPr>
        <w:spacing w:line="360" w:lineRule="auto"/>
        <w:jc w:val="both"/>
        <w:rPr>
          <w:rFonts w:ascii="Arial Narrow" w:hAnsi="Arial Narrow"/>
          <w:bCs/>
          <w:sz w:val="24"/>
          <w:szCs w:val="24"/>
        </w:rPr>
      </w:pPr>
      <w:r w:rsidRPr="003C10D5">
        <w:rPr>
          <w:rFonts w:ascii="Arial Narrow" w:hAnsi="Arial Narrow"/>
          <w:bCs/>
          <w:sz w:val="24"/>
          <w:szCs w:val="24"/>
        </w:rPr>
        <w:t>Excellent Germination (Above 80%)</w:t>
      </w:r>
    </w:p>
    <w:p w:rsidR="003C10D5" w:rsidRPr="003C10D5" w:rsidRDefault="003C10D5" w:rsidP="003C10D5">
      <w:pPr>
        <w:numPr>
          <w:ilvl w:val="0"/>
          <w:numId w:val="11"/>
        </w:numPr>
        <w:spacing w:line="360" w:lineRule="auto"/>
        <w:jc w:val="both"/>
        <w:rPr>
          <w:rFonts w:ascii="Arial Narrow" w:hAnsi="Arial Narrow"/>
          <w:sz w:val="24"/>
          <w:szCs w:val="24"/>
        </w:rPr>
      </w:pPr>
      <w:r w:rsidRPr="003C10D5">
        <w:rPr>
          <w:rFonts w:ascii="Arial Narrow" w:hAnsi="Arial Narrow"/>
          <w:bCs/>
          <w:sz w:val="24"/>
          <w:szCs w:val="24"/>
        </w:rPr>
        <w:t>Maize, Okra, Wheat</w:t>
      </w:r>
      <w:r w:rsidRPr="003C10D5">
        <w:rPr>
          <w:rFonts w:ascii="Arial Narrow" w:hAnsi="Arial Narrow"/>
          <w:sz w:val="24"/>
          <w:szCs w:val="24"/>
        </w:rPr>
        <w:t>: These seeds show high germination rates and are ideal for planting. Maintaining current storage and handling practices will help retain quality.</w:t>
      </w:r>
    </w:p>
    <w:p w:rsidR="003C10D5" w:rsidRPr="003C10D5" w:rsidRDefault="003C10D5" w:rsidP="003C10D5">
      <w:pPr>
        <w:spacing w:line="360" w:lineRule="auto"/>
        <w:jc w:val="both"/>
        <w:rPr>
          <w:rFonts w:ascii="Arial Narrow" w:hAnsi="Arial Narrow"/>
          <w:bCs/>
          <w:sz w:val="24"/>
          <w:szCs w:val="24"/>
        </w:rPr>
      </w:pPr>
      <w:r w:rsidRPr="003C10D5">
        <w:rPr>
          <w:rFonts w:ascii="Arial Narrow" w:hAnsi="Arial Narrow"/>
          <w:bCs/>
          <w:sz w:val="24"/>
          <w:szCs w:val="24"/>
        </w:rPr>
        <w:t>Good Germination (60–79%)</w:t>
      </w:r>
    </w:p>
    <w:p w:rsidR="003C10D5" w:rsidRPr="003C10D5" w:rsidRDefault="003C10D5" w:rsidP="003C10D5">
      <w:pPr>
        <w:numPr>
          <w:ilvl w:val="0"/>
          <w:numId w:val="12"/>
        </w:numPr>
        <w:spacing w:line="360" w:lineRule="auto"/>
        <w:jc w:val="both"/>
        <w:rPr>
          <w:rFonts w:ascii="Arial Narrow" w:hAnsi="Arial Narrow"/>
          <w:sz w:val="24"/>
          <w:szCs w:val="24"/>
        </w:rPr>
      </w:pPr>
      <w:r w:rsidRPr="003C10D5">
        <w:rPr>
          <w:rFonts w:ascii="Arial Narrow" w:hAnsi="Arial Narrow"/>
          <w:bCs/>
          <w:sz w:val="24"/>
          <w:szCs w:val="24"/>
        </w:rPr>
        <w:t xml:space="preserve">Onion, </w:t>
      </w:r>
      <w:proofErr w:type="spellStart"/>
      <w:r w:rsidRPr="003C10D5">
        <w:rPr>
          <w:rFonts w:ascii="Arial Narrow" w:hAnsi="Arial Narrow"/>
          <w:bCs/>
          <w:sz w:val="24"/>
          <w:szCs w:val="24"/>
        </w:rPr>
        <w:t>Mungbean</w:t>
      </w:r>
      <w:proofErr w:type="spellEnd"/>
      <w:r w:rsidRPr="003C10D5">
        <w:rPr>
          <w:rFonts w:ascii="Arial Narrow" w:hAnsi="Arial Narrow"/>
          <w:bCs/>
          <w:sz w:val="24"/>
          <w:szCs w:val="24"/>
        </w:rPr>
        <w:t>, Tobacco</w:t>
      </w:r>
      <w:r w:rsidRPr="003C10D5">
        <w:rPr>
          <w:rFonts w:ascii="Arial Narrow" w:hAnsi="Arial Narrow"/>
          <w:sz w:val="24"/>
          <w:szCs w:val="24"/>
        </w:rPr>
        <w:t>: While viable, slight improvements in seed storage and pre-treatment could enhance germination rates further.</w:t>
      </w:r>
    </w:p>
    <w:p w:rsidR="003C10D5" w:rsidRPr="003C10D5" w:rsidRDefault="003C10D5" w:rsidP="003C10D5">
      <w:pPr>
        <w:spacing w:line="360" w:lineRule="auto"/>
        <w:jc w:val="both"/>
        <w:rPr>
          <w:rFonts w:ascii="Arial Narrow" w:hAnsi="Arial Narrow"/>
          <w:bCs/>
          <w:sz w:val="24"/>
          <w:szCs w:val="24"/>
        </w:rPr>
      </w:pPr>
      <w:r w:rsidRPr="003C10D5">
        <w:rPr>
          <w:rFonts w:ascii="Arial Narrow" w:hAnsi="Arial Narrow"/>
          <w:bCs/>
          <w:sz w:val="24"/>
          <w:szCs w:val="24"/>
        </w:rPr>
        <w:t>Moderate Germination (20–59%)</w:t>
      </w:r>
    </w:p>
    <w:p w:rsidR="003C10D5" w:rsidRPr="003C10D5" w:rsidRDefault="003C10D5" w:rsidP="003C10D5">
      <w:pPr>
        <w:numPr>
          <w:ilvl w:val="0"/>
          <w:numId w:val="13"/>
        </w:numPr>
        <w:spacing w:line="360" w:lineRule="auto"/>
        <w:jc w:val="both"/>
        <w:rPr>
          <w:rFonts w:ascii="Arial Narrow" w:hAnsi="Arial Narrow"/>
          <w:sz w:val="24"/>
          <w:szCs w:val="24"/>
        </w:rPr>
      </w:pPr>
      <w:r w:rsidRPr="003C10D5">
        <w:rPr>
          <w:rFonts w:ascii="Arial Narrow" w:hAnsi="Arial Narrow"/>
          <w:bCs/>
          <w:sz w:val="24"/>
          <w:szCs w:val="24"/>
        </w:rPr>
        <w:t>Green Amaranth, Hybrid Rice-48</w:t>
      </w:r>
      <w:r w:rsidRPr="003C10D5">
        <w:rPr>
          <w:rFonts w:ascii="Arial Narrow" w:hAnsi="Arial Narrow"/>
          <w:sz w:val="24"/>
          <w:szCs w:val="24"/>
        </w:rPr>
        <w:t>: Lower viability suggests the need for enhanced seed treatment and optimal storage conditions.</w:t>
      </w:r>
    </w:p>
    <w:p w:rsidR="003C10D5" w:rsidRPr="003C10D5" w:rsidRDefault="003C10D5" w:rsidP="003C10D5">
      <w:pPr>
        <w:spacing w:line="360" w:lineRule="auto"/>
        <w:jc w:val="both"/>
        <w:rPr>
          <w:rFonts w:ascii="Arial Narrow" w:hAnsi="Arial Narrow"/>
          <w:bCs/>
          <w:sz w:val="24"/>
          <w:szCs w:val="24"/>
        </w:rPr>
      </w:pPr>
      <w:r w:rsidRPr="003C10D5">
        <w:rPr>
          <w:rFonts w:ascii="Arial Narrow" w:hAnsi="Arial Narrow"/>
          <w:bCs/>
          <w:sz w:val="24"/>
          <w:szCs w:val="24"/>
        </w:rPr>
        <w:t>Poor Germination (&lt;20%)</w:t>
      </w:r>
    </w:p>
    <w:p w:rsidR="003C10D5" w:rsidRPr="003C10D5" w:rsidRDefault="003C10D5" w:rsidP="003C10D5">
      <w:pPr>
        <w:numPr>
          <w:ilvl w:val="0"/>
          <w:numId w:val="14"/>
        </w:numPr>
        <w:spacing w:line="360" w:lineRule="auto"/>
        <w:jc w:val="both"/>
        <w:rPr>
          <w:rFonts w:ascii="Arial Narrow" w:hAnsi="Arial Narrow"/>
          <w:sz w:val="24"/>
          <w:szCs w:val="24"/>
        </w:rPr>
      </w:pPr>
      <w:proofErr w:type="spellStart"/>
      <w:r w:rsidRPr="003C10D5">
        <w:rPr>
          <w:rFonts w:ascii="Arial Narrow" w:hAnsi="Arial Narrow"/>
          <w:bCs/>
          <w:sz w:val="24"/>
          <w:szCs w:val="24"/>
        </w:rPr>
        <w:t>Lal</w:t>
      </w:r>
      <w:proofErr w:type="spellEnd"/>
      <w:r w:rsidRPr="003C10D5">
        <w:rPr>
          <w:rFonts w:ascii="Arial Narrow" w:hAnsi="Arial Narrow"/>
          <w:bCs/>
          <w:sz w:val="24"/>
          <w:szCs w:val="24"/>
        </w:rPr>
        <w:t xml:space="preserve"> </w:t>
      </w:r>
      <w:proofErr w:type="spellStart"/>
      <w:r w:rsidRPr="003C10D5">
        <w:rPr>
          <w:rFonts w:ascii="Arial Narrow" w:hAnsi="Arial Narrow"/>
          <w:bCs/>
          <w:sz w:val="24"/>
          <w:szCs w:val="24"/>
        </w:rPr>
        <w:t>Swarna</w:t>
      </w:r>
      <w:proofErr w:type="spellEnd"/>
      <w:r w:rsidRPr="003C10D5">
        <w:rPr>
          <w:rFonts w:ascii="Arial Narrow" w:hAnsi="Arial Narrow"/>
          <w:bCs/>
          <w:sz w:val="24"/>
          <w:szCs w:val="24"/>
        </w:rPr>
        <w:t xml:space="preserve"> </w:t>
      </w:r>
      <w:proofErr w:type="spellStart"/>
      <w:r w:rsidRPr="003C10D5">
        <w:rPr>
          <w:rFonts w:ascii="Arial Narrow" w:hAnsi="Arial Narrow"/>
          <w:bCs/>
          <w:sz w:val="24"/>
          <w:szCs w:val="24"/>
        </w:rPr>
        <w:t>Dhan</w:t>
      </w:r>
      <w:proofErr w:type="spellEnd"/>
      <w:r w:rsidRPr="003C10D5">
        <w:rPr>
          <w:rFonts w:ascii="Arial Narrow" w:hAnsi="Arial Narrow"/>
          <w:bCs/>
          <w:sz w:val="24"/>
          <w:szCs w:val="24"/>
        </w:rPr>
        <w:t>, Bitter Gourd</w:t>
      </w:r>
      <w:r w:rsidRPr="003C10D5">
        <w:rPr>
          <w:rFonts w:ascii="Arial Narrow" w:hAnsi="Arial Narrow"/>
          <w:sz w:val="24"/>
          <w:szCs w:val="24"/>
        </w:rPr>
        <w:t>: Poor performance may be due to aging seeds or improper storage. Replacing these seeds with higher-quality alternatives is recommended.</w:t>
      </w:r>
    </w:p>
    <w:p w:rsidR="003C10D5" w:rsidRPr="003C10D5" w:rsidRDefault="003C10D5" w:rsidP="003C10D5">
      <w:pPr>
        <w:spacing w:line="360" w:lineRule="auto"/>
        <w:jc w:val="both"/>
        <w:rPr>
          <w:rFonts w:ascii="Arial Narrow" w:hAnsi="Arial Narrow"/>
          <w:bCs/>
          <w:sz w:val="24"/>
          <w:szCs w:val="24"/>
        </w:rPr>
      </w:pPr>
      <w:r w:rsidRPr="003C10D5">
        <w:rPr>
          <w:rFonts w:ascii="Arial Narrow" w:hAnsi="Arial Narrow"/>
          <w:bCs/>
          <w:sz w:val="24"/>
          <w:szCs w:val="24"/>
        </w:rPr>
        <w:t>No Germination (0%)</w:t>
      </w:r>
    </w:p>
    <w:p w:rsidR="003C10D5" w:rsidRPr="003C10D5" w:rsidRDefault="003C10D5" w:rsidP="003C10D5">
      <w:pPr>
        <w:numPr>
          <w:ilvl w:val="0"/>
          <w:numId w:val="15"/>
        </w:numPr>
        <w:spacing w:line="360" w:lineRule="auto"/>
        <w:jc w:val="both"/>
        <w:rPr>
          <w:rFonts w:ascii="Arial Narrow" w:hAnsi="Arial Narrow"/>
          <w:sz w:val="24"/>
          <w:szCs w:val="24"/>
        </w:rPr>
      </w:pPr>
      <w:r w:rsidRPr="003C10D5">
        <w:rPr>
          <w:rFonts w:ascii="Arial Narrow" w:hAnsi="Arial Narrow"/>
          <w:bCs/>
          <w:sz w:val="24"/>
          <w:szCs w:val="24"/>
        </w:rPr>
        <w:t xml:space="preserve">Bottle Gourd, Cucumber, Sponge Gourd, </w:t>
      </w:r>
      <w:proofErr w:type="gramStart"/>
      <w:r w:rsidRPr="003C10D5">
        <w:rPr>
          <w:rFonts w:ascii="Arial Narrow" w:hAnsi="Arial Narrow"/>
          <w:bCs/>
          <w:sz w:val="24"/>
          <w:szCs w:val="24"/>
        </w:rPr>
        <w:t>Spinach</w:t>
      </w:r>
      <w:proofErr w:type="gramEnd"/>
      <w:r w:rsidRPr="003C10D5">
        <w:rPr>
          <w:rFonts w:ascii="Arial Narrow" w:hAnsi="Arial Narrow"/>
          <w:sz w:val="24"/>
          <w:szCs w:val="24"/>
        </w:rPr>
        <w:t>: These seeds are non-viable and should be discarded. Future seed batches should be sourced from reputable suppliers to avoid failed crops.</w:t>
      </w:r>
    </w:p>
    <w:p w:rsidR="003C10D5" w:rsidRPr="003C10D5" w:rsidRDefault="003C10D5" w:rsidP="003C10D5">
      <w:pPr>
        <w:spacing w:line="360" w:lineRule="auto"/>
        <w:jc w:val="both"/>
        <w:rPr>
          <w:rFonts w:ascii="Arial Narrow" w:hAnsi="Arial Narrow"/>
          <w:bCs/>
          <w:sz w:val="24"/>
          <w:szCs w:val="24"/>
        </w:rPr>
      </w:pPr>
      <w:r w:rsidRPr="003C10D5">
        <w:rPr>
          <w:rFonts w:ascii="Arial Narrow" w:hAnsi="Arial Narrow"/>
          <w:bCs/>
          <w:sz w:val="24"/>
          <w:szCs w:val="24"/>
        </w:rPr>
        <w:t>Conclusion</w:t>
      </w:r>
    </w:p>
    <w:p w:rsidR="003C10D5" w:rsidRPr="003C10D5" w:rsidRDefault="003C10D5" w:rsidP="003C10D5">
      <w:pPr>
        <w:spacing w:line="360" w:lineRule="auto"/>
        <w:jc w:val="both"/>
        <w:rPr>
          <w:rFonts w:ascii="Arial Narrow" w:hAnsi="Arial Narrow"/>
          <w:sz w:val="24"/>
          <w:szCs w:val="24"/>
        </w:rPr>
      </w:pPr>
      <w:r w:rsidRPr="003C10D5">
        <w:rPr>
          <w:rFonts w:ascii="Arial Narrow" w:hAnsi="Arial Narrow"/>
          <w:sz w:val="24"/>
          <w:szCs w:val="24"/>
        </w:rPr>
        <w:t xml:space="preserve">The study highlights significant variability in seed germination rates among different crops. Ensuring better seed quality through proper storage, selection, and treatment can enhance agricultural productivity in </w:t>
      </w:r>
      <w:r w:rsidRPr="003C10D5">
        <w:rPr>
          <w:rFonts w:ascii="Arial Narrow" w:hAnsi="Arial Narrow"/>
          <w:sz w:val="24"/>
          <w:szCs w:val="24"/>
        </w:rPr>
        <w:lastRenderedPageBreak/>
        <w:t>Meherpur district. Farmers should prioritize high-viability seeds and adopt best practices for seed preservation to maximize successful crop establishment.</w:t>
      </w:r>
    </w:p>
    <w:p w:rsidR="003C10D5" w:rsidRPr="00C53589" w:rsidRDefault="003C10D5" w:rsidP="00353988">
      <w:pPr>
        <w:spacing w:line="360" w:lineRule="auto"/>
        <w:jc w:val="center"/>
        <w:rPr>
          <w:rFonts w:ascii="Arial Narrow" w:hAnsi="Arial Narrow"/>
          <w:b/>
          <w:sz w:val="24"/>
          <w:szCs w:val="24"/>
        </w:rPr>
      </w:pPr>
    </w:p>
    <w:sectPr w:rsidR="003C10D5" w:rsidRPr="00C53589" w:rsidSect="002C2D8A">
      <w:footerReference w:type="default" r:id="rId8"/>
      <w:pgSz w:w="12240" w:h="15840"/>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A5B" w:rsidRDefault="00423A5B" w:rsidP="002C2D8A">
      <w:pPr>
        <w:spacing w:after="0" w:line="240" w:lineRule="auto"/>
      </w:pPr>
      <w:r>
        <w:separator/>
      </w:r>
    </w:p>
  </w:endnote>
  <w:endnote w:type="continuationSeparator" w:id="0">
    <w:p w:rsidR="00423A5B" w:rsidRDefault="00423A5B" w:rsidP="002C2D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D8A" w:rsidRDefault="002C2D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A5B" w:rsidRDefault="00423A5B" w:rsidP="002C2D8A">
      <w:pPr>
        <w:spacing w:after="0" w:line="240" w:lineRule="auto"/>
      </w:pPr>
      <w:r>
        <w:separator/>
      </w:r>
    </w:p>
  </w:footnote>
  <w:footnote w:type="continuationSeparator" w:id="0">
    <w:p w:rsidR="00423A5B" w:rsidRDefault="00423A5B" w:rsidP="002C2D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47172"/>
    <w:multiLevelType w:val="multilevel"/>
    <w:tmpl w:val="FC8AD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E15C6E"/>
    <w:multiLevelType w:val="multilevel"/>
    <w:tmpl w:val="68FE5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160D20"/>
    <w:multiLevelType w:val="multilevel"/>
    <w:tmpl w:val="8DCC3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E873D5"/>
    <w:multiLevelType w:val="multilevel"/>
    <w:tmpl w:val="E0B07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61901AB"/>
    <w:multiLevelType w:val="multilevel"/>
    <w:tmpl w:val="55FAE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8E51B6"/>
    <w:multiLevelType w:val="multilevel"/>
    <w:tmpl w:val="DBBA0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D57524A"/>
    <w:multiLevelType w:val="multilevel"/>
    <w:tmpl w:val="5DB2E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6A523F"/>
    <w:multiLevelType w:val="multilevel"/>
    <w:tmpl w:val="E89E8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3B92DDB"/>
    <w:multiLevelType w:val="multilevel"/>
    <w:tmpl w:val="B6067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E57828"/>
    <w:multiLevelType w:val="multilevel"/>
    <w:tmpl w:val="B1882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11E7FFD"/>
    <w:multiLevelType w:val="multilevel"/>
    <w:tmpl w:val="B7967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4AE29C1"/>
    <w:multiLevelType w:val="multilevel"/>
    <w:tmpl w:val="F69E9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6D300E"/>
    <w:multiLevelType w:val="multilevel"/>
    <w:tmpl w:val="6BB0A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BB679D2"/>
    <w:multiLevelType w:val="multilevel"/>
    <w:tmpl w:val="A2B6B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8290EA5"/>
    <w:multiLevelType w:val="multilevel"/>
    <w:tmpl w:val="F53C9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0"/>
  </w:num>
  <w:num w:numId="3">
    <w:abstractNumId w:val="3"/>
  </w:num>
  <w:num w:numId="4">
    <w:abstractNumId w:val="9"/>
  </w:num>
  <w:num w:numId="5">
    <w:abstractNumId w:val="12"/>
  </w:num>
  <w:num w:numId="6">
    <w:abstractNumId w:val="7"/>
  </w:num>
  <w:num w:numId="7">
    <w:abstractNumId w:val="5"/>
  </w:num>
  <w:num w:numId="8">
    <w:abstractNumId w:val="6"/>
  </w:num>
  <w:num w:numId="9">
    <w:abstractNumId w:val="8"/>
  </w:num>
  <w:num w:numId="10">
    <w:abstractNumId w:val="4"/>
  </w:num>
  <w:num w:numId="11">
    <w:abstractNumId w:val="11"/>
  </w:num>
  <w:num w:numId="12">
    <w:abstractNumId w:val="13"/>
  </w:num>
  <w:num w:numId="13">
    <w:abstractNumId w:val="1"/>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7SwNDcwMTU2NTA0tDRW0lEKTi0uzszPAykwqQUAp0gjGiwAAAA="/>
  </w:docVars>
  <w:rsids>
    <w:rsidRoot w:val="00CE7A99"/>
    <w:rsid w:val="00061942"/>
    <w:rsid w:val="00061BBF"/>
    <w:rsid w:val="00065317"/>
    <w:rsid w:val="00080121"/>
    <w:rsid w:val="000B4CF4"/>
    <w:rsid w:val="00125B65"/>
    <w:rsid w:val="001E006F"/>
    <w:rsid w:val="001F092E"/>
    <w:rsid w:val="00225D8C"/>
    <w:rsid w:val="002542AB"/>
    <w:rsid w:val="00262E2E"/>
    <w:rsid w:val="002B64AC"/>
    <w:rsid w:val="002C2D8A"/>
    <w:rsid w:val="002D6288"/>
    <w:rsid w:val="002F7D27"/>
    <w:rsid w:val="003032A0"/>
    <w:rsid w:val="00347EB7"/>
    <w:rsid w:val="00353988"/>
    <w:rsid w:val="00391931"/>
    <w:rsid w:val="003B615C"/>
    <w:rsid w:val="003C10D5"/>
    <w:rsid w:val="00422B31"/>
    <w:rsid w:val="00423A5B"/>
    <w:rsid w:val="00426E5C"/>
    <w:rsid w:val="00434754"/>
    <w:rsid w:val="00442D96"/>
    <w:rsid w:val="004C1614"/>
    <w:rsid w:val="004E5763"/>
    <w:rsid w:val="00595E52"/>
    <w:rsid w:val="005E7A72"/>
    <w:rsid w:val="00637362"/>
    <w:rsid w:val="00674752"/>
    <w:rsid w:val="006859B0"/>
    <w:rsid w:val="006D34B6"/>
    <w:rsid w:val="006F6D3E"/>
    <w:rsid w:val="007104F0"/>
    <w:rsid w:val="007658AC"/>
    <w:rsid w:val="007848C2"/>
    <w:rsid w:val="00792537"/>
    <w:rsid w:val="00804CDD"/>
    <w:rsid w:val="00816DD4"/>
    <w:rsid w:val="008226A4"/>
    <w:rsid w:val="00822A12"/>
    <w:rsid w:val="00872CEB"/>
    <w:rsid w:val="008749D4"/>
    <w:rsid w:val="00930C14"/>
    <w:rsid w:val="00965240"/>
    <w:rsid w:val="009A4E78"/>
    <w:rsid w:val="009A510A"/>
    <w:rsid w:val="009C58E0"/>
    <w:rsid w:val="009D5945"/>
    <w:rsid w:val="00A5085D"/>
    <w:rsid w:val="00A604C7"/>
    <w:rsid w:val="00A97032"/>
    <w:rsid w:val="00AA3B54"/>
    <w:rsid w:val="00AA4EE5"/>
    <w:rsid w:val="00AA6592"/>
    <w:rsid w:val="00AD2A1A"/>
    <w:rsid w:val="00AD5B2C"/>
    <w:rsid w:val="00AE1C8A"/>
    <w:rsid w:val="00AF3195"/>
    <w:rsid w:val="00B37D98"/>
    <w:rsid w:val="00B65894"/>
    <w:rsid w:val="00BE688F"/>
    <w:rsid w:val="00BF06EF"/>
    <w:rsid w:val="00C53589"/>
    <w:rsid w:val="00CB3DB3"/>
    <w:rsid w:val="00CE7A99"/>
    <w:rsid w:val="00CE7AE4"/>
    <w:rsid w:val="00CF3C46"/>
    <w:rsid w:val="00D24F5D"/>
    <w:rsid w:val="00D54E26"/>
    <w:rsid w:val="00DC1070"/>
    <w:rsid w:val="00E17D87"/>
    <w:rsid w:val="00EF43C8"/>
    <w:rsid w:val="00F40CA0"/>
    <w:rsid w:val="00F65765"/>
    <w:rsid w:val="00F74D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58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894"/>
    <w:rPr>
      <w:rFonts w:ascii="Tahoma" w:hAnsi="Tahoma" w:cs="Tahoma"/>
      <w:sz w:val="16"/>
      <w:szCs w:val="16"/>
    </w:rPr>
  </w:style>
  <w:style w:type="paragraph" w:styleId="NormalWeb">
    <w:name w:val="Normal (Web)"/>
    <w:basedOn w:val="Normal"/>
    <w:uiPriority w:val="99"/>
    <w:unhideWhenUsed/>
    <w:rsid w:val="00B6589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9A4E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C2D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2D8A"/>
  </w:style>
  <w:style w:type="paragraph" w:styleId="Footer">
    <w:name w:val="footer"/>
    <w:basedOn w:val="Normal"/>
    <w:link w:val="FooterChar"/>
    <w:uiPriority w:val="99"/>
    <w:unhideWhenUsed/>
    <w:rsid w:val="002C2D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D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58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894"/>
    <w:rPr>
      <w:rFonts w:ascii="Tahoma" w:hAnsi="Tahoma" w:cs="Tahoma"/>
      <w:sz w:val="16"/>
      <w:szCs w:val="16"/>
    </w:rPr>
  </w:style>
  <w:style w:type="paragraph" w:styleId="NormalWeb">
    <w:name w:val="Normal (Web)"/>
    <w:basedOn w:val="Normal"/>
    <w:uiPriority w:val="99"/>
    <w:unhideWhenUsed/>
    <w:rsid w:val="00B6589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9A4E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C2D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2D8A"/>
  </w:style>
  <w:style w:type="paragraph" w:styleId="Footer">
    <w:name w:val="footer"/>
    <w:basedOn w:val="Normal"/>
    <w:link w:val="FooterChar"/>
    <w:uiPriority w:val="99"/>
    <w:unhideWhenUsed/>
    <w:rsid w:val="002C2D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D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13888">
      <w:bodyDiv w:val="1"/>
      <w:marLeft w:val="0"/>
      <w:marRight w:val="0"/>
      <w:marTop w:val="0"/>
      <w:marBottom w:val="0"/>
      <w:divBdr>
        <w:top w:val="none" w:sz="0" w:space="0" w:color="auto"/>
        <w:left w:val="none" w:sz="0" w:space="0" w:color="auto"/>
        <w:bottom w:val="none" w:sz="0" w:space="0" w:color="auto"/>
        <w:right w:val="none" w:sz="0" w:space="0" w:color="auto"/>
      </w:divBdr>
    </w:div>
    <w:div w:id="146439801">
      <w:bodyDiv w:val="1"/>
      <w:marLeft w:val="0"/>
      <w:marRight w:val="0"/>
      <w:marTop w:val="0"/>
      <w:marBottom w:val="0"/>
      <w:divBdr>
        <w:top w:val="none" w:sz="0" w:space="0" w:color="auto"/>
        <w:left w:val="none" w:sz="0" w:space="0" w:color="auto"/>
        <w:bottom w:val="none" w:sz="0" w:space="0" w:color="auto"/>
        <w:right w:val="none" w:sz="0" w:space="0" w:color="auto"/>
      </w:divBdr>
    </w:div>
    <w:div w:id="182786347">
      <w:bodyDiv w:val="1"/>
      <w:marLeft w:val="0"/>
      <w:marRight w:val="0"/>
      <w:marTop w:val="0"/>
      <w:marBottom w:val="0"/>
      <w:divBdr>
        <w:top w:val="none" w:sz="0" w:space="0" w:color="auto"/>
        <w:left w:val="none" w:sz="0" w:space="0" w:color="auto"/>
        <w:bottom w:val="none" w:sz="0" w:space="0" w:color="auto"/>
        <w:right w:val="none" w:sz="0" w:space="0" w:color="auto"/>
      </w:divBdr>
    </w:div>
    <w:div w:id="272782375">
      <w:bodyDiv w:val="1"/>
      <w:marLeft w:val="0"/>
      <w:marRight w:val="0"/>
      <w:marTop w:val="0"/>
      <w:marBottom w:val="0"/>
      <w:divBdr>
        <w:top w:val="none" w:sz="0" w:space="0" w:color="auto"/>
        <w:left w:val="none" w:sz="0" w:space="0" w:color="auto"/>
        <w:bottom w:val="none" w:sz="0" w:space="0" w:color="auto"/>
        <w:right w:val="none" w:sz="0" w:space="0" w:color="auto"/>
      </w:divBdr>
    </w:div>
    <w:div w:id="677849634">
      <w:bodyDiv w:val="1"/>
      <w:marLeft w:val="0"/>
      <w:marRight w:val="0"/>
      <w:marTop w:val="0"/>
      <w:marBottom w:val="0"/>
      <w:divBdr>
        <w:top w:val="none" w:sz="0" w:space="0" w:color="auto"/>
        <w:left w:val="none" w:sz="0" w:space="0" w:color="auto"/>
        <w:bottom w:val="none" w:sz="0" w:space="0" w:color="auto"/>
        <w:right w:val="none" w:sz="0" w:space="0" w:color="auto"/>
      </w:divBdr>
    </w:div>
    <w:div w:id="1049110174">
      <w:bodyDiv w:val="1"/>
      <w:marLeft w:val="0"/>
      <w:marRight w:val="0"/>
      <w:marTop w:val="0"/>
      <w:marBottom w:val="0"/>
      <w:divBdr>
        <w:top w:val="none" w:sz="0" w:space="0" w:color="auto"/>
        <w:left w:val="none" w:sz="0" w:space="0" w:color="auto"/>
        <w:bottom w:val="none" w:sz="0" w:space="0" w:color="auto"/>
        <w:right w:val="none" w:sz="0" w:space="0" w:color="auto"/>
      </w:divBdr>
    </w:div>
    <w:div w:id="1215696847">
      <w:bodyDiv w:val="1"/>
      <w:marLeft w:val="0"/>
      <w:marRight w:val="0"/>
      <w:marTop w:val="0"/>
      <w:marBottom w:val="0"/>
      <w:divBdr>
        <w:top w:val="none" w:sz="0" w:space="0" w:color="auto"/>
        <w:left w:val="none" w:sz="0" w:space="0" w:color="auto"/>
        <w:bottom w:val="none" w:sz="0" w:space="0" w:color="auto"/>
        <w:right w:val="none" w:sz="0" w:space="0" w:color="auto"/>
      </w:divBdr>
    </w:div>
    <w:div w:id="1421875940">
      <w:bodyDiv w:val="1"/>
      <w:marLeft w:val="0"/>
      <w:marRight w:val="0"/>
      <w:marTop w:val="0"/>
      <w:marBottom w:val="0"/>
      <w:divBdr>
        <w:top w:val="none" w:sz="0" w:space="0" w:color="auto"/>
        <w:left w:val="none" w:sz="0" w:space="0" w:color="auto"/>
        <w:bottom w:val="none" w:sz="0" w:space="0" w:color="auto"/>
        <w:right w:val="none" w:sz="0" w:space="0" w:color="auto"/>
      </w:divBdr>
    </w:div>
    <w:div w:id="1917976888">
      <w:bodyDiv w:val="1"/>
      <w:marLeft w:val="0"/>
      <w:marRight w:val="0"/>
      <w:marTop w:val="0"/>
      <w:marBottom w:val="0"/>
      <w:divBdr>
        <w:top w:val="none" w:sz="0" w:space="0" w:color="auto"/>
        <w:left w:val="none" w:sz="0" w:space="0" w:color="auto"/>
        <w:bottom w:val="none" w:sz="0" w:space="0" w:color="auto"/>
        <w:right w:val="none" w:sz="0" w:space="0" w:color="auto"/>
      </w:divBdr>
    </w:div>
    <w:div w:id="1969697521">
      <w:bodyDiv w:val="1"/>
      <w:marLeft w:val="0"/>
      <w:marRight w:val="0"/>
      <w:marTop w:val="0"/>
      <w:marBottom w:val="0"/>
      <w:divBdr>
        <w:top w:val="none" w:sz="0" w:space="0" w:color="auto"/>
        <w:left w:val="none" w:sz="0" w:space="0" w:color="auto"/>
        <w:bottom w:val="none" w:sz="0" w:space="0" w:color="auto"/>
        <w:right w:val="none" w:sz="0" w:space="0" w:color="auto"/>
      </w:divBdr>
    </w:div>
    <w:div w:id="1999110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484</TotalTime>
  <Pages>1</Pages>
  <Words>567</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dc:creator>
  <cp:keywords/>
  <dc:description/>
  <cp:lastModifiedBy>Hasan</cp:lastModifiedBy>
  <cp:revision>56</cp:revision>
  <dcterms:created xsi:type="dcterms:W3CDTF">2024-06-03T14:04:00Z</dcterms:created>
  <dcterms:modified xsi:type="dcterms:W3CDTF">2025-02-15T08:25:00Z</dcterms:modified>
</cp:coreProperties>
</file>